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63A" w:rsidRPr="00E1263A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1F8F2807" w14:textId="77777777" w:rsidR="00E1263A" w:rsidRDefault="00E1263A" w:rsidP="00E1263A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No. </w:t>
          </w:r>
          <w:r>
            <w:rPr>
              <w:rFonts w:ascii="Arial Narrow" w:hAnsi="Arial Narrow"/>
              <w:b/>
              <w:bCs/>
            </w:rPr>
            <w:t>SMPU-LP-006/2022</w:t>
          </w:r>
        </w:p>
        <w:p w14:paraId="071543B1" w14:textId="51FF67B6" w:rsidR="00BE15EF" w:rsidRPr="00BE15EF" w:rsidRDefault="00E1263A" w:rsidP="00E1263A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OBRA: </w:t>
          </w:r>
          <w:r>
            <w:rPr>
              <w:rFonts w:ascii="Arial Narrow" w:hAnsi="Arial Narrow" w:cs="Arial Narrow"/>
              <w:b/>
              <w:u w:val="single"/>
            </w:rPr>
            <w:t>Rehabilitación del piso 4 del edificio de la Secretaría de Finanzas y Tesorería General del estado de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1263A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83544-F794-498D-ADA1-CA32783D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2022-03-03T18:59:00Z</dcterms:modified>
</cp:coreProperties>
</file>